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4D05" w14:textId="77777777" w:rsidR="00466807" w:rsidRDefault="00466807" w:rsidP="000C73A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73737"/>
          <w:sz w:val="40"/>
          <w:szCs w:val="40"/>
          <w:bdr w:val="none" w:sz="0" w:space="0" w:color="auto" w:frame="1"/>
        </w:rPr>
      </w:pPr>
      <w:r w:rsidRPr="00466807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1013289" wp14:editId="0C6766D8">
            <wp:simplePos x="0" y="0"/>
            <wp:positionH relativeFrom="column">
              <wp:posOffset>3284220</wp:posOffset>
            </wp:positionH>
            <wp:positionV relativeFrom="paragraph">
              <wp:posOffset>0</wp:posOffset>
            </wp:positionV>
            <wp:extent cx="2613660" cy="10013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C73A6" w:rsidRPr="000C73A6">
        <w:rPr>
          <w:rFonts w:asciiTheme="majorHAnsi" w:eastAsia="Times New Roman" w:hAnsiTheme="majorHAnsi" w:cstheme="majorHAnsi"/>
          <w:b/>
          <w:bCs/>
          <w:color w:val="373737"/>
          <w:sz w:val="40"/>
          <w:szCs w:val="40"/>
          <w:bdr w:val="none" w:sz="0" w:space="0" w:color="auto" w:frame="1"/>
        </w:rPr>
        <w:t>Beleidsplan</w:t>
      </w:r>
      <w:proofErr w:type="spellEnd"/>
      <w:r w:rsidR="00E02927" w:rsidRPr="00466807">
        <w:rPr>
          <w:rFonts w:asciiTheme="majorHAnsi" w:eastAsia="Times New Roman" w:hAnsiTheme="majorHAnsi" w:cstheme="majorHAnsi"/>
          <w:b/>
          <w:bCs/>
          <w:color w:val="373737"/>
          <w:sz w:val="40"/>
          <w:szCs w:val="40"/>
          <w:bdr w:val="none" w:sz="0" w:space="0" w:color="auto" w:frame="1"/>
        </w:rPr>
        <w:t xml:space="preserve"> Stichting </w:t>
      </w:r>
    </w:p>
    <w:p w14:paraId="46BE96EC" w14:textId="75F265E7" w:rsidR="000C73A6" w:rsidRPr="00466807" w:rsidRDefault="00E02927" w:rsidP="000C73A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73737"/>
          <w:sz w:val="40"/>
          <w:szCs w:val="40"/>
          <w:bdr w:val="none" w:sz="0" w:space="0" w:color="auto" w:frame="1"/>
        </w:rPr>
      </w:pPr>
      <w:bookmarkStart w:id="0" w:name="_GoBack"/>
      <w:bookmarkEnd w:id="0"/>
      <w:r w:rsidRPr="00466807">
        <w:rPr>
          <w:rFonts w:asciiTheme="majorHAnsi" w:eastAsia="Times New Roman" w:hAnsiTheme="majorHAnsi" w:cstheme="majorHAnsi"/>
          <w:b/>
          <w:bCs/>
          <w:color w:val="373737"/>
          <w:sz w:val="40"/>
          <w:szCs w:val="40"/>
          <w:bdr w:val="none" w:sz="0" w:space="0" w:color="auto" w:frame="1"/>
        </w:rPr>
        <w:t>“</w:t>
      </w:r>
      <w:proofErr w:type="spellStart"/>
      <w:r w:rsidRPr="00466807">
        <w:rPr>
          <w:rFonts w:asciiTheme="majorHAnsi" w:eastAsia="Times New Roman" w:hAnsiTheme="majorHAnsi" w:cstheme="majorHAnsi"/>
          <w:b/>
          <w:bCs/>
          <w:color w:val="373737"/>
          <w:sz w:val="40"/>
          <w:szCs w:val="40"/>
          <w:bdr w:val="none" w:sz="0" w:space="0" w:color="auto" w:frame="1"/>
        </w:rPr>
        <w:t>Wij</w:t>
      </w:r>
      <w:proofErr w:type="spellEnd"/>
      <w:r w:rsidRPr="00466807">
        <w:rPr>
          <w:rFonts w:asciiTheme="majorHAnsi" w:eastAsia="Times New Roman" w:hAnsiTheme="majorHAnsi" w:cstheme="majorHAnsi"/>
          <w:b/>
          <w:bCs/>
          <w:color w:val="373737"/>
          <w:sz w:val="40"/>
          <w:szCs w:val="40"/>
          <w:bdr w:val="none" w:sz="0" w:space="0" w:color="auto" w:frame="1"/>
        </w:rPr>
        <w:t xml:space="preserve"> Steunen Kenia”</w:t>
      </w:r>
      <w:r w:rsidR="00466807" w:rsidRPr="00466807">
        <w:rPr>
          <w:noProof/>
          <w:sz w:val="40"/>
          <w:szCs w:val="40"/>
        </w:rPr>
        <w:t xml:space="preserve"> </w:t>
      </w:r>
    </w:p>
    <w:p w14:paraId="0AB212C2" w14:textId="77777777" w:rsidR="00E02927" w:rsidRPr="000C73A6" w:rsidRDefault="00E02927" w:rsidP="000C73A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</w:p>
    <w:p w14:paraId="5FE925F5" w14:textId="77777777" w:rsidR="00466807" w:rsidRDefault="00466807" w:rsidP="000C73A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</w:pPr>
    </w:p>
    <w:p w14:paraId="65CFF4E2" w14:textId="77777777" w:rsidR="00466807" w:rsidRDefault="00466807" w:rsidP="000C73A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</w:pPr>
    </w:p>
    <w:p w14:paraId="18B0B07B" w14:textId="0E622271" w:rsidR="000C73A6" w:rsidRPr="000C73A6" w:rsidRDefault="000C73A6" w:rsidP="000C73A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Wij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Steunen Kenia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zet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zich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in om 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kennisoverdracht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het begrip bij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kinderen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in Nederland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gericht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op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ontwikkelingsproblematiek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te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vergroten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ingezoomd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op Kenia.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Naast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deze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bewustwording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stimuleert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WSK ook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lokale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ontwikkeling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in Kenia.</w:t>
      </w:r>
    </w:p>
    <w:p w14:paraId="79AA3ECE" w14:textId="77777777" w:rsidR="00E02927" w:rsidRDefault="00E02927" w:rsidP="000C73A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</w:pPr>
    </w:p>
    <w:p w14:paraId="4D6F22DE" w14:textId="6C865CFD" w:rsidR="000C73A6" w:rsidRPr="000C73A6" w:rsidRDefault="000C73A6" w:rsidP="000C73A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r w:rsidRPr="000C73A6"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  <w:t xml:space="preserve">WSK </w:t>
      </w:r>
      <w:proofErr w:type="spellStart"/>
      <w:r w:rsidRPr="000C73A6"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  <w:t>tracht</w:t>
      </w:r>
      <w:proofErr w:type="spellEnd"/>
      <w:r w:rsidRPr="000C73A6"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  <w:t>dit</w:t>
      </w:r>
      <w:proofErr w:type="spellEnd"/>
      <w:r w:rsidRPr="000C73A6"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  <w:t>doel</w:t>
      </w:r>
      <w:proofErr w:type="spellEnd"/>
      <w:r w:rsidRPr="000C73A6"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  <w:t xml:space="preserve"> te </w:t>
      </w:r>
      <w:proofErr w:type="spellStart"/>
      <w:r w:rsidRPr="000C73A6"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  <w:t>bereiken</w:t>
      </w:r>
      <w:proofErr w:type="spellEnd"/>
      <w:r w:rsidRPr="000C73A6"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  <w:t xml:space="preserve"> door:</w:t>
      </w:r>
    </w:p>
    <w:p w14:paraId="3B9983BA" w14:textId="77777777" w:rsidR="000C73A6" w:rsidRPr="000C73A6" w:rsidRDefault="000C73A6" w:rsidP="000C73A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 het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aanbieden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/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geven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van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voorlichting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/of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gastlessen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aan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kinderen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in Nederland.</w:t>
      </w:r>
    </w:p>
    <w:p w14:paraId="0B5F51B0" w14:textId="77777777" w:rsidR="000C73A6" w:rsidRPr="000C73A6" w:rsidRDefault="000C73A6" w:rsidP="000C73A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het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stimuleren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van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structurele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ondersteuning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t.b.v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.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verbetering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van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lokale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leefsituaties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. Te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denken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valt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aan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water,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voedsel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,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gezondheid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,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onderwijs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micro-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economie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.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Dit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samen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in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overleg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met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Keniaanse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bevolking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in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omgeving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van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Mwerenischool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,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afgestemd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op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situatie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ter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plekke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.</w:t>
      </w:r>
    </w:p>
    <w:p w14:paraId="62CD7B9E" w14:textId="77777777" w:rsidR="000C73A6" w:rsidRPr="000C73A6" w:rsidRDefault="000C73A6" w:rsidP="000C73A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het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inzamelen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van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gelden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d.m.v.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acties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, al dan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niet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in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samenwerking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met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andere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groepen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of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derden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.</w:t>
      </w:r>
    </w:p>
    <w:p w14:paraId="000C3C76" w14:textId="77777777" w:rsidR="000C73A6" w:rsidRPr="000C73A6" w:rsidRDefault="000C73A6" w:rsidP="000C73A6">
      <w:pPr>
        <w:shd w:val="clear" w:color="auto" w:fill="FFFFFF"/>
        <w:spacing w:after="390" w:line="240" w:lineRule="auto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Het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werven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van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gelden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gebeurt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onder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andere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op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volgende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manieren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:</w:t>
      </w:r>
    </w:p>
    <w:p w14:paraId="70782918" w14:textId="77777777" w:rsidR="000C73A6" w:rsidRPr="000C73A6" w:rsidRDefault="000C73A6" w:rsidP="000C73A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op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scholen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(basis-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als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middelbare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scholen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)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voorlichting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geven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vragen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om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gelden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te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verzamelen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voor WSK,</w:t>
      </w:r>
    </w:p>
    <w:p w14:paraId="4CCD80B2" w14:textId="77777777" w:rsidR="000C73A6" w:rsidRPr="000C73A6" w:rsidRDefault="000C73A6" w:rsidP="000C73A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d.m.v.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actie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in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lokale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krant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,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bijvoorbeeld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: “</w:t>
      </w:r>
      <w:proofErr w:type="gram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10 euro</w:t>
      </w:r>
      <w:proofErr w:type="gram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voor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planken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,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wij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zorgen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voor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schoolbanken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”</w:t>
      </w:r>
    </w:p>
    <w:p w14:paraId="02CF0169" w14:textId="77777777" w:rsidR="000C73A6" w:rsidRPr="000C73A6" w:rsidRDefault="000C73A6" w:rsidP="000C73A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via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familie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vrienden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die de stichting steunen</w:t>
      </w:r>
    </w:p>
    <w:p w14:paraId="5A75DD54" w14:textId="77777777" w:rsidR="000C73A6" w:rsidRPr="000C73A6" w:rsidRDefault="000C73A6" w:rsidP="000C73A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door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emballagebonnen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bij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supermarkten</w:t>
      </w:r>
      <w:proofErr w:type="spellEnd"/>
    </w:p>
    <w:p w14:paraId="76B8C498" w14:textId="77777777" w:rsidR="000C73A6" w:rsidRPr="000C73A6" w:rsidRDefault="000C73A6" w:rsidP="000C73A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via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sociale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media: website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Facebook</w:t>
      </w:r>
    </w:p>
    <w:p w14:paraId="295AED56" w14:textId="77777777" w:rsidR="000C73A6" w:rsidRPr="000C73A6" w:rsidRDefault="000C73A6" w:rsidP="000C73A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via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lokale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organisaties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zoals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Lionsclub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, de Rotary,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Soroptimisten</w:t>
      </w:r>
      <w:proofErr w:type="spellEnd"/>
    </w:p>
    <w:p w14:paraId="773DEEB8" w14:textId="77777777" w:rsidR="00E02927" w:rsidRDefault="00E02927" w:rsidP="000C73A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</w:pPr>
    </w:p>
    <w:p w14:paraId="204FC84C" w14:textId="1338706E" w:rsidR="000C73A6" w:rsidRPr="000C73A6" w:rsidRDefault="000C73A6" w:rsidP="000C73A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proofErr w:type="spellStart"/>
      <w:r w:rsidRPr="000C73A6"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  <w:t>Overkoepelende</w:t>
      </w:r>
      <w:proofErr w:type="spellEnd"/>
      <w:r w:rsidRPr="000C73A6"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  <w:t xml:space="preserve"> stichting:</w:t>
      </w:r>
    </w:p>
    <w:p w14:paraId="2FC3CD19" w14:textId="77777777" w:rsidR="000C73A6" w:rsidRPr="000C73A6" w:rsidRDefault="000C73A6" w:rsidP="000C73A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Wij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Steunen Kenia is lid van Tenda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Pamoja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: </w:t>
      </w:r>
      <w:hyperlink r:id="rId6" w:history="1">
        <w:r w:rsidRPr="000C73A6">
          <w:rPr>
            <w:rFonts w:asciiTheme="majorHAnsi" w:eastAsia="Times New Roman" w:hAnsiTheme="majorHAnsi" w:cstheme="majorHAnsi"/>
            <w:color w:val="1982D1"/>
            <w:sz w:val="23"/>
            <w:szCs w:val="23"/>
            <w:u w:val="single"/>
            <w:bdr w:val="none" w:sz="0" w:space="0" w:color="auto" w:frame="1"/>
          </w:rPr>
          <w:t>www.tendapamoja.nl</w:t>
        </w:r>
      </w:hyperlink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.</w:t>
      </w:r>
    </w:p>
    <w:p w14:paraId="05A0087C" w14:textId="77777777" w:rsidR="000C73A6" w:rsidRPr="000C73A6" w:rsidRDefault="000C73A6" w:rsidP="000C73A6">
      <w:pPr>
        <w:shd w:val="clear" w:color="auto" w:fill="FFFFFF"/>
        <w:spacing w:after="390" w:line="240" w:lineRule="auto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De stichting Tenda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Pamoja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is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sinds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mei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2007 in Kenia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actief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als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overkoepelende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organisatie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van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individuele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,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zelfstandige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opererende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sponsors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belangstellenden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. Tenda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Pamoja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beschikt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in Kenia over een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enthousiast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team van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vaste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medewerkers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besteedt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daarmee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aandacht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aan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drie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doelen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: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verbetering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van Primary Education (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onderwijs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),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Safety&amp;Health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(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gezondheidszorg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)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Local Economy (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stimulering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lokale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economie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).</w:t>
      </w:r>
    </w:p>
    <w:p w14:paraId="67722CB3" w14:textId="77777777" w:rsidR="000C73A6" w:rsidRPr="000C73A6" w:rsidRDefault="000C73A6" w:rsidP="000C73A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proofErr w:type="spellStart"/>
      <w:r w:rsidRPr="000C73A6"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  <w:t>Besteding</w:t>
      </w:r>
      <w:proofErr w:type="spellEnd"/>
      <w:r w:rsidRPr="000C73A6"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  <w:t xml:space="preserve"> van </w:t>
      </w:r>
      <w:proofErr w:type="spellStart"/>
      <w:r w:rsidRPr="000C73A6"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  <w:t>vermogen</w:t>
      </w:r>
      <w:proofErr w:type="spellEnd"/>
      <w:r w:rsidRPr="000C73A6"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  <w:t>:</w:t>
      </w:r>
    </w:p>
    <w:p w14:paraId="2229BCF3" w14:textId="77777777" w:rsidR="000C73A6" w:rsidRPr="000C73A6" w:rsidRDefault="000C73A6" w:rsidP="000C73A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Het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beheer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van het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vermogen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van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instelling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is in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handen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van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penningmeester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.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Jaarlijks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wordt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jaarrekening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gepubliceerd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.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Ieder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jaar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betaalt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Wij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Steunen Kenia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lidmaatschap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aan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de stichting Tenda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Pamoja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(TP). Deze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overkoepelende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stichting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heeft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 lokaal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personeel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in Kenia in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dienst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dat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zorgt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voor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contacten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op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scholen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,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bouw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van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projecten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,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voortgang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van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andere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projecten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afstemming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tussen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Nederland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Kenia.</w:t>
      </w:r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br/>
        <w:t xml:space="preserve">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besteding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van het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vermogen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van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instelling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is een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wisselwerking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tussen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financi</w:t>
      </w:r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ële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lastRenderedPageBreak/>
        <w:t>mogelijkheden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van de stichting,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doelstelling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van de stichting,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wensen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van de school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afstemming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met Tenda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Pamoja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  <w:bdr w:val="none" w:sz="0" w:space="0" w:color="auto" w:frame="1"/>
        </w:rPr>
        <w:t>..</w:t>
      </w:r>
    </w:p>
    <w:p w14:paraId="680B0DA8" w14:textId="77777777" w:rsidR="00E02927" w:rsidRDefault="00E02927" w:rsidP="000C73A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</w:pPr>
    </w:p>
    <w:p w14:paraId="29763C32" w14:textId="77777777" w:rsidR="00E02927" w:rsidRDefault="00E02927">
      <w:pPr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  <w:br w:type="page"/>
      </w:r>
    </w:p>
    <w:p w14:paraId="36427BA9" w14:textId="0443DEE3" w:rsidR="000C73A6" w:rsidRPr="000C73A6" w:rsidRDefault="000C73A6" w:rsidP="000C73A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proofErr w:type="spellStart"/>
      <w:r w:rsidRPr="000C73A6">
        <w:rPr>
          <w:rFonts w:asciiTheme="majorHAnsi" w:eastAsia="Times New Roman" w:hAnsiTheme="majorHAnsi" w:cstheme="majorHAnsi"/>
          <w:b/>
          <w:bCs/>
          <w:color w:val="373737"/>
          <w:sz w:val="23"/>
          <w:szCs w:val="23"/>
          <w:bdr w:val="none" w:sz="0" w:space="0" w:color="auto" w:frame="1"/>
        </w:rPr>
        <w:lastRenderedPageBreak/>
        <w:t>Beloningsbeleid</w:t>
      </w:r>
      <w:proofErr w:type="spellEnd"/>
    </w:p>
    <w:p w14:paraId="2F8EE3E1" w14:textId="77777777" w:rsidR="000C73A6" w:rsidRPr="000C73A6" w:rsidRDefault="000C73A6" w:rsidP="000C73A6">
      <w:pPr>
        <w:shd w:val="clear" w:color="auto" w:fill="FFFFFF"/>
        <w:spacing w:after="390" w:line="240" w:lineRule="auto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Stichting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Wij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Steunen </w:t>
      </w:r>
      <w:proofErr w:type="gram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Kenia 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bestaat</w:t>
      </w:r>
      <w:proofErr w:type="spellEnd"/>
      <w:proofErr w:type="gram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in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zijn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geheel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uit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vrijwilligers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. Zij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ontvangen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dus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geen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salarissen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.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Er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bestaan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twee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afspraken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over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eventuele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financiele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vergoedingen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:</w:t>
      </w:r>
    </w:p>
    <w:p w14:paraId="17C8EE48" w14:textId="77777777" w:rsidR="000C73A6" w:rsidRPr="000C73A6" w:rsidRDefault="000C73A6" w:rsidP="000C73A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onkosten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die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worden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gemaakt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 door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leden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van de Stichting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worden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vergoed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als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financien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dit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toelaten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.</w:t>
      </w:r>
    </w:p>
    <w:p w14:paraId="1269F4D5" w14:textId="77777777" w:rsidR="000C73A6" w:rsidRPr="000C73A6" w:rsidRDefault="000C73A6" w:rsidP="000C73A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theme="majorHAnsi"/>
          <w:color w:val="373737"/>
          <w:sz w:val="23"/>
          <w:szCs w:val="23"/>
        </w:rPr>
      </w:pP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Mocht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een lid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namens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de stichting een bezoek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brengen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aan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het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het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project in Kenia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er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zijn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financiële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mogelijkheden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, dan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wordt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10% van de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reissom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vergoed</w:t>
      </w:r>
      <w:proofErr w:type="spellEnd"/>
      <w:r w:rsidRPr="000C73A6">
        <w:rPr>
          <w:rFonts w:asciiTheme="majorHAnsi" w:eastAsia="Times New Roman" w:hAnsiTheme="majorHAnsi" w:cstheme="majorHAnsi"/>
          <w:color w:val="373737"/>
          <w:sz w:val="23"/>
          <w:szCs w:val="23"/>
        </w:rPr>
        <w:t>.</w:t>
      </w:r>
    </w:p>
    <w:p w14:paraId="7DB4E63A" w14:textId="77777777" w:rsidR="00335549" w:rsidRPr="00E02927" w:rsidRDefault="00335549">
      <w:pPr>
        <w:rPr>
          <w:rFonts w:asciiTheme="majorHAnsi" w:hAnsiTheme="majorHAnsi" w:cstheme="majorHAnsi"/>
        </w:rPr>
      </w:pPr>
    </w:p>
    <w:sectPr w:rsidR="00335549" w:rsidRPr="00E02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5185"/>
    <w:multiLevelType w:val="multilevel"/>
    <w:tmpl w:val="1DD85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75E2A"/>
    <w:multiLevelType w:val="multilevel"/>
    <w:tmpl w:val="5704C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F244A"/>
    <w:multiLevelType w:val="multilevel"/>
    <w:tmpl w:val="A748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A6"/>
    <w:rsid w:val="000C73A6"/>
    <w:rsid w:val="00335549"/>
    <w:rsid w:val="00466807"/>
    <w:rsid w:val="00E0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8A3C"/>
  <w15:chartTrackingRefBased/>
  <w15:docId w15:val="{8CA57930-6FDC-4EDB-ACF5-10C3C621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73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7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apamoja.n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van deurzen</dc:creator>
  <cp:keywords/>
  <dc:description/>
  <cp:lastModifiedBy>marion van deurzen</cp:lastModifiedBy>
  <cp:revision>2</cp:revision>
  <dcterms:created xsi:type="dcterms:W3CDTF">2020-02-23T15:37:00Z</dcterms:created>
  <dcterms:modified xsi:type="dcterms:W3CDTF">2020-02-23T15:54:00Z</dcterms:modified>
</cp:coreProperties>
</file>